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1542539"/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F76DD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июля</w:t>
      </w:r>
      <w:r w:rsidR="00056BAB"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22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порядкаорганизации и проведения публичных слушаний по вопросам градостроительной деятельности на территории се</w:t>
      </w:r>
      <w:r w:rsidR="00F76DD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льского поселения Верхняя Орлянка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F76DD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 Верхняя Орлянка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F76DDB">
        <w:rPr>
          <w:bCs/>
        </w:rPr>
        <w:t>Верхняя Орлянка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D004A9">
        <w:rPr>
          <w:bCs/>
        </w:rPr>
        <w:t>Верхняя Орлянка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</w:t>
      </w:r>
      <w:r w:rsidR="00F76DDB">
        <w:rPr>
          <w:bCs/>
          <w:kern w:val="32"/>
        </w:rPr>
        <w:t>льского поселения Верхняя Орлянка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F76DDB">
        <w:rPr>
          <w:rFonts w:ascii="Times New Roman" w:hAnsi="Times New Roman"/>
          <w:bCs/>
          <w:sz w:val="28"/>
          <w:szCs w:val="28"/>
        </w:rPr>
        <w:t>Верхняя Орлянка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F76DDB">
        <w:rPr>
          <w:rFonts w:ascii="Times New Roman" w:hAnsi="Times New Roman"/>
          <w:sz w:val="28"/>
          <w:szCs w:val="28"/>
        </w:rPr>
        <w:t>28 июня</w:t>
      </w:r>
      <w:r w:rsidRPr="00056B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F76DDB">
        <w:rPr>
          <w:rFonts w:ascii="Times New Roman" w:hAnsi="Times New Roman"/>
          <w:sz w:val="28"/>
          <w:szCs w:val="28"/>
        </w:rPr>
        <w:t xml:space="preserve"> 18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F76DDB">
        <w:rPr>
          <w:rFonts w:ascii="Times New Roman" w:hAnsi="Times New Roman"/>
          <w:sz w:val="28"/>
          <w:szCs w:val="28"/>
        </w:rPr>
        <w:t>Верхняя Орлянка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6DDB">
        <w:rPr>
          <w:rFonts w:ascii="Times New Roman" w:hAnsi="Times New Roman"/>
          <w:sz w:val="28"/>
          <w:szCs w:val="28"/>
        </w:rPr>
        <w:t>Верхняя Орлянка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F76DDB">
        <w:rPr>
          <w:rFonts w:ascii="Times New Roman" w:hAnsi="Times New Roman"/>
          <w:sz w:val="28"/>
          <w:szCs w:val="28"/>
        </w:rPr>
        <w:t xml:space="preserve">                              Т.В.Исмагилова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76DDB">
        <w:rPr>
          <w:rFonts w:ascii="Times New Roman" w:hAnsi="Times New Roman"/>
          <w:sz w:val="28"/>
          <w:szCs w:val="28"/>
        </w:rPr>
        <w:t>Верхняя Орлянка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 w:rsidR="00F76DDB">
        <w:rPr>
          <w:rFonts w:ascii="Times New Roman" w:hAnsi="Times New Roman"/>
          <w:sz w:val="28"/>
          <w:szCs w:val="28"/>
        </w:rPr>
        <w:t xml:space="preserve">                          Р.Р.Исмагилов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E550BB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E550BB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F76DDB" w:rsidP="00E550BB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>
        <w:rPr>
          <w:rFonts w:ascii="Times New Roman" w:eastAsia="Times New Roman" w:hAnsi="Times New Roman"/>
          <w:bCs/>
          <w:kern w:val="32"/>
          <w:sz w:val="22"/>
          <w:szCs w:val="22"/>
        </w:rPr>
        <w:t>сельского поселения Верхняя Орлянка</w:t>
      </w:r>
      <w:r w:rsidR="008F3E37"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E550BB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E550BB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</w:t>
      </w:r>
      <w:r w:rsidR="00F76DDB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от «29» июля 2019 г. № 22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76DDB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F76DDB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8D3B17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льского поселения Верхняя Орлянка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8D3B17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8D3B17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lastRenderedPageBreak/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</w:t>
      </w:r>
      <w:r w:rsidRPr="00653CA6">
        <w:rPr>
          <w:rFonts w:ascii="Times New Roman" w:hAnsi="Times New Roman"/>
          <w:sz w:val="28"/>
          <w:szCs w:val="28"/>
        </w:rPr>
        <w:lastRenderedPageBreak/>
        <w:t>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8D3B17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Верхняя Орлянка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</w:t>
      </w:r>
      <w:r w:rsidR="008D3B1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ьского поселения Верхняя Орлянка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8D3B17">
        <w:rPr>
          <w:rFonts w:ascii="Times New Roman" w:hAnsi="Times New Roman"/>
          <w:sz w:val="28"/>
          <w:szCs w:val="28"/>
        </w:rPr>
        <w:t>сельского поселения Верхняя Орлянка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8D3B17">
        <w:rPr>
          <w:rFonts w:ascii="Times New Roman" w:hAnsi="Times New Roman"/>
          <w:sz w:val="28"/>
          <w:szCs w:val="28"/>
        </w:rPr>
        <w:t>сельского поселения Верхняя Орлянка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8D3B17">
        <w:rPr>
          <w:rFonts w:ascii="Times New Roman" w:hAnsi="Times New Roman"/>
          <w:sz w:val="28"/>
          <w:szCs w:val="28"/>
        </w:rPr>
        <w:t>сельского поселения Верхняя Орлянка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8D3B17">
        <w:rPr>
          <w:rFonts w:ascii="Times New Roman" w:hAnsi="Times New Roman"/>
          <w:sz w:val="28"/>
          <w:szCs w:val="28"/>
        </w:rPr>
        <w:t xml:space="preserve">сельского поселения Верхняя Орлянка 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653CA6" w:rsidRPr="00653CA6" w:rsidRDefault="00653CA6" w:rsidP="00431D2E">
      <w:pPr>
        <w:jc w:val="right"/>
        <w:rPr>
          <w:rFonts w:ascii="Times New Roman" w:hAnsi="Times New Roman"/>
        </w:rPr>
      </w:pPr>
    </w:p>
    <w:p w:rsidR="00653CA6" w:rsidRPr="00653CA6" w:rsidRDefault="00653CA6" w:rsidP="00431D2E">
      <w:pPr>
        <w:jc w:val="right"/>
        <w:rPr>
          <w:rFonts w:ascii="Times New Roman" w:hAnsi="Times New Roman"/>
        </w:rPr>
      </w:pPr>
    </w:p>
    <w:p w:rsidR="00653CA6" w:rsidRPr="00653CA6" w:rsidRDefault="00653CA6" w:rsidP="00431D2E">
      <w:pPr>
        <w:jc w:val="right"/>
        <w:rPr>
          <w:rFonts w:ascii="Times New Roman" w:hAnsi="Times New Roman"/>
        </w:rPr>
      </w:pPr>
    </w:p>
    <w:p w:rsidR="00653CA6" w:rsidRPr="00653CA6" w:rsidRDefault="00653CA6" w:rsidP="00431D2E">
      <w:pPr>
        <w:jc w:val="right"/>
        <w:rPr>
          <w:rFonts w:ascii="Times New Roman" w:hAnsi="Times New Roman"/>
        </w:rPr>
      </w:pPr>
    </w:p>
    <w:p w:rsidR="00653CA6" w:rsidRPr="00653CA6" w:rsidRDefault="00653CA6" w:rsidP="00431D2E">
      <w:pPr>
        <w:jc w:val="right"/>
        <w:rPr>
          <w:rFonts w:ascii="Times New Roman" w:hAnsi="Times New Roman"/>
        </w:rPr>
      </w:pPr>
    </w:p>
    <w:p w:rsidR="00653CA6" w:rsidRDefault="00653CA6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Pr="00653CA6" w:rsidRDefault="00056BAB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8D3B17">
        <w:rPr>
          <w:rFonts w:ascii="Times New Roman" w:hAnsi="Times New Roman"/>
        </w:rPr>
        <w:t>сельского поселения  Верхняя Орлянка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lastRenderedPageBreak/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8D3B17">
        <w:rPr>
          <w:rFonts w:ascii="Times New Roman" w:hAnsi="Times New Roman"/>
        </w:rPr>
        <w:t>ритории сельского поселения  Верхняя Орлянка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</w:t>
      </w:r>
      <w:r w:rsidR="008D3B17">
        <w:rPr>
          <w:rFonts w:ascii="Times New Roman" w:hAnsi="Times New Roman"/>
        </w:rPr>
        <w:t>селения  Верхняя Орлянка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8D3B17">
        <w:rPr>
          <w:rFonts w:ascii="Times New Roman" w:hAnsi="Times New Roman"/>
        </w:rPr>
        <w:t>ритории сельского поселения  Верхняя Орлянка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8D3B17">
        <w:rPr>
          <w:rFonts w:ascii="Times New Roman" w:hAnsi="Times New Roman"/>
        </w:rPr>
        <w:t>ритории сельского поселения  Верхняя Орлянка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8D3B17">
        <w:rPr>
          <w:rFonts w:ascii="Times New Roman" w:hAnsi="Times New Roman"/>
        </w:rPr>
        <w:t>сельского поселения  Верхняя Орлянка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</w:t>
      </w:r>
      <w:r w:rsidR="008D3B17">
        <w:rPr>
          <w:rFonts w:ascii="Times New Roman" w:hAnsi="Times New Roman"/>
        </w:rPr>
        <w:t>Р.Р.Исмагилов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(подпись)                                 (Ф.И.О.)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</w:t>
      </w:r>
      <w:r w:rsidR="008D3B17">
        <w:rPr>
          <w:rFonts w:ascii="Times New Roman" w:hAnsi="Times New Roman"/>
        </w:rPr>
        <w:t>еления Верхняя Орлянка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lastRenderedPageBreak/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52" w:rsidRDefault="003D3652" w:rsidP="00FD64A6">
      <w:r>
        <w:separator/>
      </w:r>
    </w:p>
  </w:endnote>
  <w:endnote w:type="continuationSeparator" w:id="1">
    <w:p w:rsidR="003D3652" w:rsidRDefault="003D3652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52" w:rsidRDefault="003D3652" w:rsidP="00FD64A6">
      <w:r>
        <w:separator/>
      </w:r>
    </w:p>
  </w:footnote>
  <w:footnote w:type="continuationSeparator" w:id="1">
    <w:p w:rsidR="003D3652" w:rsidRDefault="003D3652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320F92">
    <w:r>
      <w:fldChar w:fldCharType="begin"/>
    </w:r>
    <w:r w:rsidR="00431D2E">
      <w:instrText xml:space="preserve"> PAGE </w:instrText>
    </w:r>
    <w:r>
      <w:fldChar w:fldCharType="separate"/>
    </w:r>
    <w:r w:rsidR="00D004A9">
      <w:rPr>
        <w:noProof/>
      </w:rPr>
      <w:t>26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320F92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8D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0F92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652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208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2C5D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27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3B17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4673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4A9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268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497C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50BB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6DDB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34D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CB79-66B7-4DC9-A12B-9331902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42339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2019-07-29T12:44:00Z</dcterms:created>
  <dcterms:modified xsi:type="dcterms:W3CDTF">2019-07-31T10:56:00Z</dcterms:modified>
</cp:coreProperties>
</file>